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9E" w:rsidRPr="00E2240C" w:rsidRDefault="00D2209E" w:rsidP="000E09B2">
      <w:pPr>
        <w:ind w:left="851" w:right="1274"/>
        <w:jc w:val="center"/>
        <w:rPr>
          <w:b/>
          <w:bCs/>
          <w:color w:val="943634"/>
          <w:sz w:val="32"/>
          <w:szCs w:val="32"/>
          <w:lang w:val="en-US"/>
        </w:rPr>
      </w:pPr>
      <w:r w:rsidRPr="00E2240C">
        <w:rPr>
          <w:b/>
          <w:bCs/>
          <w:color w:val="943634"/>
          <w:sz w:val="32"/>
          <w:szCs w:val="32"/>
          <w:lang w:val="en-US"/>
        </w:rPr>
        <w:t xml:space="preserve">CONSIDERATIONS REGARDING THE COST OF LIVING APPLIED BY THE UNJSPF TO </w:t>
      </w:r>
      <w:smartTag w:uri="urn:schemas-microsoft-com:office:smarttags" w:element="place">
        <w:smartTag w:uri="urn:schemas-microsoft-com:office:smarttags" w:element="country-region">
          <w:r w:rsidRPr="00E2240C">
            <w:rPr>
              <w:b/>
              <w:bCs/>
              <w:color w:val="943634"/>
              <w:sz w:val="32"/>
              <w:szCs w:val="32"/>
              <w:lang w:val="en-US"/>
            </w:rPr>
            <w:t>SPAIN</w:t>
          </w:r>
        </w:smartTag>
      </w:smartTag>
      <w:r w:rsidRPr="00E2240C">
        <w:rPr>
          <w:b/>
          <w:bCs/>
          <w:color w:val="943634"/>
          <w:sz w:val="32"/>
          <w:szCs w:val="32"/>
          <w:lang w:val="en-US"/>
        </w:rPr>
        <w:t xml:space="preserve"> IN THE LAST YEARS</w:t>
      </w:r>
    </w:p>
    <w:p w:rsidR="00D2209E" w:rsidRPr="00E2240C" w:rsidRDefault="00D2209E">
      <w:pPr>
        <w:rPr>
          <w:color w:val="943634"/>
          <w:lang w:val="en-US"/>
        </w:rPr>
      </w:pPr>
    </w:p>
    <w:p w:rsidR="00D2209E" w:rsidRPr="00E2240C" w:rsidRDefault="00D2209E">
      <w:pPr>
        <w:rPr>
          <w:color w:val="943634"/>
          <w:sz w:val="24"/>
          <w:szCs w:val="24"/>
          <w:lang w:val="en-US"/>
        </w:rPr>
      </w:pPr>
      <w:r w:rsidRPr="00E2240C">
        <w:rPr>
          <w:color w:val="943634"/>
          <w:sz w:val="24"/>
          <w:szCs w:val="24"/>
          <w:lang w:val="en-US"/>
        </w:rPr>
        <w:t>In the following pages I show that the reduction of 2.8% applied by the UNJSPF to the cost of living (</w:t>
      </w:r>
      <w:smartTag w:uri="urn:schemas-microsoft-com:office:smarttags" w:element="place">
        <w:smartTag w:uri="urn:schemas-microsoft-com:office:smarttags" w:element="State">
          <w:r w:rsidRPr="00E2240C">
            <w:rPr>
              <w:color w:val="943634"/>
              <w:sz w:val="24"/>
              <w:szCs w:val="24"/>
              <w:lang w:val="en-US"/>
            </w:rPr>
            <w:t>COL</w:t>
          </w:r>
        </w:smartTag>
      </w:smartTag>
      <w:r w:rsidRPr="00E2240C">
        <w:rPr>
          <w:color w:val="943634"/>
          <w:sz w:val="24"/>
          <w:szCs w:val="24"/>
          <w:lang w:val="en-US"/>
        </w:rPr>
        <w:t xml:space="preserve">) in </w:t>
      </w:r>
      <w:smartTag w:uri="urn:schemas-microsoft-com:office:smarttags" w:element="place">
        <w:smartTag w:uri="urn:schemas-microsoft-com:office:smarttags" w:element="country-region">
          <w:r w:rsidRPr="00E2240C">
            <w:rPr>
              <w:color w:val="943634"/>
              <w:sz w:val="24"/>
              <w:szCs w:val="24"/>
              <w:lang w:val="en-US"/>
            </w:rPr>
            <w:t>Spain</w:t>
          </w:r>
        </w:smartTag>
      </w:smartTag>
      <w:r w:rsidRPr="00E2240C">
        <w:rPr>
          <w:color w:val="943634"/>
          <w:sz w:val="24"/>
          <w:szCs w:val="24"/>
          <w:lang w:val="en-US"/>
        </w:rPr>
        <w:t xml:space="preserve"> in April 2015 was not justified by the real evolution of the CPI in this country.  The conclusion is that the purchase power of retirees in </w:t>
      </w:r>
      <w:smartTag w:uri="urn:schemas-microsoft-com:office:smarttags" w:element="place">
        <w:smartTag w:uri="urn:schemas-microsoft-com:office:smarttags" w:element="country-region">
          <w:r w:rsidRPr="00E2240C">
            <w:rPr>
              <w:color w:val="943634"/>
              <w:sz w:val="24"/>
              <w:szCs w:val="24"/>
              <w:lang w:val="en-US"/>
            </w:rPr>
            <w:t>Spain</w:t>
          </w:r>
        </w:smartTag>
      </w:smartTag>
      <w:r w:rsidRPr="00E2240C">
        <w:rPr>
          <w:color w:val="943634"/>
          <w:sz w:val="24"/>
          <w:szCs w:val="24"/>
          <w:lang w:val="en-US"/>
        </w:rPr>
        <w:t xml:space="preserve"> has diminished by 2%, and that such reduction is becoming apparent with the </w:t>
      </w:r>
      <w:r>
        <w:rPr>
          <w:color w:val="943634"/>
          <w:sz w:val="24"/>
          <w:szCs w:val="24"/>
          <w:lang w:val="en-US"/>
        </w:rPr>
        <w:t xml:space="preserve">ongoing </w:t>
      </w:r>
      <w:r w:rsidRPr="00E2240C">
        <w:rPr>
          <w:color w:val="943634"/>
          <w:sz w:val="24"/>
          <w:szCs w:val="24"/>
          <w:lang w:val="en-US"/>
        </w:rPr>
        <w:t xml:space="preserve">devaluation of the dollar. A solution is proposed to correct this mistake. </w:t>
      </w:r>
    </w:p>
    <w:p w:rsidR="00D2209E" w:rsidRPr="00E2240C" w:rsidRDefault="00D2209E">
      <w:pPr>
        <w:rPr>
          <w:color w:val="943634"/>
          <w:sz w:val="24"/>
          <w:szCs w:val="24"/>
          <w:lang w:val="en-US"/>
        </w:rPr>
      </w:pPr>
      <w:r w:rsidRPr="00E2240C">
        <w:rPr>
          <w:color w:val="943634"/>
          <w:sz w:val="24"/>
          <w:szCs w:val="24"/>
          <w:lang w:val="en-US"/>
        </w:rPr>
        <w:t xml:space="preserve">Summarizing, after many emails, I got the following explanation from the UNJSPF: Yes, the -2.8% decrease was a mistake, but so it was the +2.9% applied in April 2013, so there was no need to correct anything. </w:t>
      </w:r>
      <w:r>
        <w:rPr>
          <w:color w:val="943634"/>
          <w:sz w:val="24"/>
          <w:szCs w:val="24"/>
          <w:lang w:val="en-US"/>
        </w:rPr>
        <w:t xml:space="preserve">I don’t agree. </w:t>
      </w:r>
    </w:p>
    <w:p w:rsidR="00D2209E" w:rsidRPr="00E2240C" w:rsidRDefault="00D2209E">
      <w:pPr>
        <w:rPr>
          <w:color w:val="943634"/>
          <w:sz w:val="24"/>
          <w:szCs w:val="24"/>
          <w:lang w:val="en-US"/>
        </w:rPr>
      </w:pPr>
      <w:r w:rsidRPr="00E2240C">
        <w:rPr>
          <w:color w:val="943634"/>
          <w:sz w:val="24"/>
          <w:szCs w:val="24"/>
          <w:lang w:val="en-US"/>
        </w:rPr>
        <w:t xml:space="preserve">(All the following screenshots have been obtained at the web of the INE (Spanish </w:t>
      </w:r>
      <w:proofErr w:type="gramStart"/>
      <w:r w:rsidRPr="00E2240C">
        <w:rPr>
          <w:color w:val="943634"/>
          <w:sz w:val="24"/>
          <w:szCs w:val="24"/>
          <w:lang w:val="en-US"/>
        </w:rPr>
        <w:t>National  Institute</w:t>
      </w:r>
      <w:proofErr w:type="gramEnd"/>
      <w:r w:rsidRPr="00E2240C">
        <w:rPr>
          <w:color w:val="943634"/>
          <w:sz w:val="24"/>
          <w:szCs w:val="24"/>
          <w:lang w:val="en-US"/>
        </w:rPr>
        <w:t xml:space="preserve"> of Statistics: </w:t>
      </w:r>
      <w:hyperlink r:id="rId5" w:history="1">
        <w:r w:rsidRPr="00E2240C">
          <w:rPr>
            <w:rStyle w:val="Hyperlink"/>
            <w:color w:val="943634"/>
            <w:sz w:val="24"/>
            <w:szCs w:val="24"/>
            <w:lang w:val="en-US"/>
          </w:rPr>
          <w:t>http://www.ine.es/varipc/</w:t>
        </w:r>
      </w:hyperlink>
      <w:r w:rsidRPr="00E2240C">
        <w:rPr>
          <w:color w:val="943634"/>
          <w:sz w:val="24"/>
          <w:szCs w:val="24"/>
          <w:lang w:val="en-US"/>
        </w:rPr>
        <w:t>)</w:t>
      </w:r>
    </w:p>
    <w:p w:rsidR="00D2209E" w:rsidRPr="00E2240C" w:rsidRDefault="00D2209E">
      <w:pPr>
        <w:rPr>
          <w:b/>
          <w:bCs/>
          <w:color w:val="943634"/>
          <w:sz w:val="32"/>
          <w:szCs w:val="32"/>
          <w:lang w:val="en-US"/>
        </w:rPr>
      </w:pPr>
    </w:p>
    <w:p w:rsidR="00D2209E" w:rsidRPr="00E2240C" w:rsidRDefault="00D2209E">
      <w:pPr>
        <w:rPr>
          <w:b/>
          <w:bCs/>
          <w:color w:val="943634"/>
          <w:sz w:val="32"/>
          <w:szCs w:val="32"/>
          <w:lang w:val="en-US"/>
        </w:rPr>
      </w:pPr>
      <w:r w:rsidRPr="00E2240C">
        <w:rPr>
          <w:b/>
          <w:bCs/>
          <w:color w:val="943634"/>
          <w:sz w:val="32"/>
          <w:szCs w:val="32"/>
          <w:lang w:val="en-US"/>
        </w:rPr>
        <w:t>2011 – 2012</w:t>
      </w:r>
    </w:p>
    <w:p w:rsidR="00D2209E" w:rsidRPr="00E2240C" w:rsidRDefault="00D2209E">
      <w:pPr>
        <w:rPr>
          <w:color w:val="943634"/>
          <w:sz w:val="24"/>
          <w:szCs w:val="24"/>
          <w:lang w:val="en-US"/>
        </w:rPr>
      </w:pPr>
      <w:r w:rsidRPr="00E2240C">
        <w:rPr>
          <w:color w:val="943634"/>
          <w:sz w:val="24"/>
          <w:szCs w:val="24"/>
          <w:lang w:val="en-US"/>
        </w:rPr>
        <w:t>Here is what we get when using the INE calculator:</w:t>
      </w:r>
    </w:p>
    <w:p w:rsidR="00D2209E" w:rsidRPr="00D03E52" w:rsidRDefault="008346DB" w:rsidP="00EB379A">
      <w:pPr>
        <w:rPr>
          <w:sz w:val="24"/>
          <w:szCs w:val="24"/>
          <w:lang w:val="en-US"/>
        </w:rPr>
      </w:pPr>
      <w:r>
        <w:rPr>
          <w:noProof/>
          <w:lang w:val="en-GB" w:eastAsia="en-GB"/>
        </w:rPr>
        <w:drawing>
          <wp:inline distT="0" distB="0" distL="0" distR="0">
            <wp:extent cx="4808220" cy="12109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8220" cy="1210945"/>
                    </a:xfrm>
                    <a:prstGeom prst="rect">
                      <a:avLst/>
                    </a:prstGeom>
                    <a:noFill/>
                    <a:ln>
                      <a:noFill/>
                    </a:ln>
                  </pic:spPr>
                </pic:pic>
              </a:graphicData>
            </a:graphic>
          </wp:inline>
        </w:drawing>
      </w:r>
    </w:p>
    <w:p w:rsidR="00D2209E" w:rsidRPr="00E2240C" w:rsidRDefault="00D2209E" w:rsidP="005B16EC">
      <w:pPr>
        <w:rPr>
          <w:color w:val="943634"/>
          <w:sz w:val="24"/>
          <w:szCs w:val="24"/>
          <w:lang w:val="en-US"/>
        </w:rPr>
      </w:pPr>
      <w:r w:rsidRPr="00E2240C">
        <w:rPr>
          <w:color w:val="943634"/>
          <w:sz w:val="24"/>
          <w:szCs w:val="24"/>
          <w:lang w:val="en-US"/>
        </w:rPr>
        <w:t>Look also at the following graph, also from the INE :</w:t>
      </w:r>
    </w:p>
    <w:p w:rsidR="00D2209E" w:rsidRPr="00D03E52" w:rsidRDefault="00D2209E" w:rsidP="005B16EC">
      <w:pPr>
        <w:rPr>
          <w:sz w:val="24"/>
          <w:szCs w:val="24"/>
          <w:lang w:val="en-US"/>
        </w:rPr>
      </w:pPr>
      <w:r w:rsidRPr="00D03E52">
        <w:rPr>
          <w:sz w:val="24"/>
          <w:szCs w:val="24"/>
          <w:lang w:val="en-US"/>
        </w:rPr>
        <w:t>(</w:t>
      </w:r>
      <w:hyperlink r:id="rId7" w:history="1">
        <w:r w:rsidRPr="00D03E52">
          <w:rPr>
            <w:rStyle w:val="Hyperlink"/>
            <w:sz w:val="24"/>
            <w:szCs w:val="24"/>
            <w:lang w:val="en-US"/>
          </w:rPr>
          <w:t>http://www.ine.es/daco/daco42/daco421/ipc0012.pdf</w:t>
        </w:r>
      </w:hyperlink>
      <w:r w:rsidRPr="00D03E52">
        <w:rPr>
          <w:sz w:val="24"/>
          <w:szCs w:val="24"/>
          <w:lang w:val="en-US"/>
        </w:rPr>
        <w:t xml:space="preserve">). </w:t>
      </w:r>
    </w:p>
    <w:p w:rsidR="00D2209E" w:rsidRPr="00D03E52" w:rsidRDefault="008346DB" w:rsidP="005B16EC">
      <w:pPr>
        <w:rPr>
          <w:lang w:val="en-US"/>
        </w:rPr>
      </w:pPr>
      <w:r>
        <w:rPr>
          <w:noProof/>
          <w:lang w:val="en-GB" w:eastAsia="en-GB"/>
        </w:rPr>
        <w:lastRenderedPageBreak/>
        <w:drawing>
          <wp:inline distT="0" distB="0" distL="0" distR="0">
            <wp:extent cx="3943985" cy="2703195"/>
            <wp:effectExtent l="0" t="0" r="0" b="190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985" cy="2703195"/>
                    </a:xfrm>
                    <a:prstGeom prst="rect">
                      <a:avLst/>
                    </a:prstGeom>
                    <a:noFill/>
                    <a:ln>
                      <a:noFill/>
                    </a:ln>
                  </pic:spPr>
                </pic:pic>
              </a:graphicData>
            </a:graphic>
          </wp:inline>
        </w:drawing>
      </w:r>
    </w:p>
    <w:p w:rsidR="00D2209E" w:rsidRPr="00E2240C" w:rsidRDefault="00D2209E" w:rsidP="00D5220E">
      <w:pPr>
        <w:rPr>
          <w:color w:val="943634"/>
          <w:sz w:val="24"/>
          <w:szCs w:val="24"/>
          <w:lang w:val="en-US"/>
        </w:rPr>
      </w:pPr>
      <w:r w:rsidRPr="00E2240C">
        <w:rPr>
          <w:color w:val="943634"/>
          <w:sz w:val="24"/>
          <w:szCs w:val="24"/>
          <w:lang w:val="en-US"/>
        </w:rPr>
        <w:t xml:space="preserve">So, between December 2011 and December </w:t>
      </w:r>
      <w:r>
        <w:rPr>
          <w:color w:val="943634"/>
          <w:sz w:val="24"/>
          <w:szCs w:val="24"/>
          <w:lang w:val="en-US"/>
        </w:rPr>
        <w:t>2012</w:t>
      </w:r>
      <w:r w:rsidRPr="00E2240C">
        <w:rPr>
          <w:color w:val="943634"/>
          <w:sz w:val="24"/>
          <w:szCs w:val="24"/>
          <w:lang w:val="en-US"/>
        </w:rPr>
        <w:t xml:space="preserve"> the index DID increase by 2,9%. It was NOT a mistake. </w:t>
      </w:r>
    </w:p>
    <w:p w:rsidR="00D2209E" w:rsidRPr="00E2240C" w:rsidRDefault="00D2209E" w:rsidP="00CE59B2">
      <w:pPr>
        <w:rPr>
          <w:b/>
          <w:bCs/>
          <w:color w:val="943634"/>
          <w:sz w:val="32"/>
          <w:szCs w:val="32"/>
          <w:lang w:val="en-US"/>
        </w:rPr>
      </w:pPr>
      <w:r w:rsidRPr="00E2240C">
        <w:rPr>
          <w:b/>
          <w:bCs/>
          <w:color w:val="943634"/>
          <w:sz w:val="32"/>
          <w:szCs w:val="32"/>
          <w:lang w:val="en-US"/>
        </w:rPr>
        <w:t>2012 - 2014</w:t>
      </w:r>
    </w:p>
    <w:p w:rsidR="00D2209E" w:rsidRPr="00E2240C" w:rsidRDefault="00D2209E" w:rsidP="00CE59B2">
      <w:pPr>
        <w:rPr>
          <w:color w:val="943634"/>
          <w:sz w:val="24"/>
          <w:szCs w:val="24"/>
          <w:lang w:val="en-US"/>
        </w:rPr>
      </w:pPr>
      <w:r>
        <w:rPr>
          <w:color w:val="943634"/>
          <w:sz w:val="24"/>
          <w:szCs w:val="24"/>
          <w:lang w:val="en-US"/>
        </w:rPr>
        <w:t>According to the UNJSPF</w:t>
      </w:r>
      <w:r w:rsidRPr="00E2240C">
        <w:rPr>
          <w:color w:val="943634"/>
          <w:sz w:val="24"/>
          <w:szCs w:val="24"/>
          <w:lang w:val="en-US"/>
        </w:rPr>
        <w:t xml:space="preserve"> data, between 2012 and 2014 the CPI decreased by 0,8% [(106.8-107.6</w:t>
      </w:r>
      <w:r>
        <w:rPr>
          <w:color w:val="943634"/>
          <w:sz w:val="24"/>
          <w:szCs w:val="24"/>
          <w:lang w:val="en-US"/>
        </w:rPr>
        <w:t>)</w:t>
      </w:r>
      <w:r w:rsidRPr="00E2240C">
        <w:rPr>
          <w:color w:val="943634"/>
          <w:sz w:val="24"/>
          <w:szCs w:val="24"/>
          <w:lang w:val="en-US"/>
        </w:rPr>
        <w:t>/107.6]. And that’s exactly what we get when using the calculator of the INE web:</w:t>
      </w:r>
    </w:p>
    <w:p w:rsidR="00D2209E" w:rsidRDefault="008346DB">
      <w:pPr>
        <w:rPr>
          <w:sz w:val="24"/>
          <w:szCs w:val="24"/>
          <w:lang w:val="en-US"/>
        </w:rPr>
      </w:pPr>
      <w:r>
        <w:rPr>
          <w:noProof/>
          <w:lang w:val="en-GB" w:eastAsia="en-GB"/>
        </w:rPr>
        <w:drawing>
          <wp:inline distT="0" distB="0" distL="0" distR="0">
            <wp:extent cx="5350510" cy="12858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0510" cy="1285875"/>
                    </a:xfrm>
                    <a:prstGeom prst="rect">
                      <a:avLst/>
                    </a:prstGeom>
                    <a:noFill/>
                    <a:ln>
                      <a:noFill/>
                    </a:ln>
                  </pic:spPr>
                </pic:pic>
              </a:graphicData>
            </a:graphic>
          </wp:inline>
        </w:drawing>
      </w:r>
    </w:p>
    <w:p w:rsidR="00D2209E" w:rsidRPr="00E2240C" w:rsidRDefault="00D2209E">
      <w:pPr>
        <w:rPr>
          <w:color w:val="943634"/>
          <w:sz w:val="24"/>
          <w:szCs w:val="24"/>
          <w:lang w:val="en-US"/>
        </w:rPr>
      </w:pPr>
      <w:r w:rsidRPr="00E2240C">
        <w:rPr>
          <w:color w:val="943634"/>
          <w:sz w:val="24"/>
          <w:szCs w:val="24"/>
          <w:lang w:val="en-US"/>
        </w:rPr>
        <w:t xml:space="preserve">So, how did you get the -2.8%? </w:t>
      </w:r>
      <w:r>
        <w:rPr>
          <w:color w:val="943634"/>
          <w:sz w:val="24"/>
          <w:szCs w:val="24"/>
          <w:lang w:val="en-US"/>
        </w:rPr>
        <w:t xml:space="preserve">A real </w:t>
      </w:r>
      <w:proofErr w:type="spellStart"/>
      <w:r>
        <w:rPr>
          <w:color w:val="943634"/>
          <w:sz w:val="24"/>
          <w:szCs w:val="24"/>
          <w:lang w:val="en-US"/>
        </w:rPr>
        <w:t>mistery</w:t>
      </w:r>
      <w:proofErr w:type="spellEnd"/>
      <w:r>
        <w:rPr>
          <w:color w:val="943634"/>
          <w:sz w:val="24"/>
          <w:szCs w:val="24"/>
          <w:lang w:val="en-US"/>
        </w:rPr>
        <w:t>.</w:t>
      </w:r>
    </w:p>
    <w:p w:rsidR="00D2209E" w:rsidRPr="00E2240C" w:rsidRDefault="00D2209E">
      <w:pPr>
        <w:rPr>
          <w:b/>
          <w:bCs/>
          <w:color w:val="943634"/>
          <w:sz w:val="32"/>
          <w:szCs w:val="32"/>
          <w:lang w:val="en-US"/>
        </w:rPr>
      </w:pPr>
      <w:r w:rsidRPr="00E2240C">
        <w:rPr>
          <w:b/>
          <w:bCs/>
          <w:color w:val="943634"/>
          <w:sz w:val="32"/>
          <w:szCs w:val="32"/>
          <w:lang w:val="en-US"/>
        </w:rPr>
        <w:t>Summary 2011-2014</w:t>
      </w:r>
    </w:p>
    <w:p w:rsidR="00D2209E" w:rsidRPr="00E2240C" w:rsidRDefault="00D2209E">
      <w:pPr>
        <w:rPr>
          <w:color w:val="943634"/>
          <w:sz w:val="24"/>
          <w:szCs w:val="24"/>
          <w:lang w:val="en-US"/>
        </w:rPr>
      </w:pPr>
      <w:r w:rsidRPr="00E2240C">
        <w:rPr>
          <w:color w:val="943634"/>
          <w:sz w:val="24"/>
          <w:szCs w:val="24"/>
          <w:lang w:val="en-US"/>
        </w:rPr>
        <w:t xml:space="preserve">In summary, between December 2011 and December 2014, the index increased  actually to 102 [100 * (1+0.029) * (1-0.008)], that is, a 2% increase. </w:t>
      </w:r>
    </w:p>
    <w:p w:rsidR="00D2209E" w:rsidRPr="00D03E52" w:rsidRDefault="00D2209E">
      <w:pPr>
        <w:rPr>
          <w:sz w:val="24"/>
          <w:szCs w:val="24"/>
          <w:lang w:val="en-US"/>
        </w:rPr>
      </w:pPr>
      <w:r w:rsidRPr="00E2240C">
        <w:rPr>
          <w:color w:val="943634"/>
          <w:sz w:val="24"/>
          <w:szCs w:val="24"/>
          <w:lang w:val="en-US"/>
        </w:rPr>
        <w:t>So, applying a REAL 2.9% increase in April 2013 and a WRONG 2.8% decrease in April 2015 means that under the local track</w:t>
      </w:r>
      <w:r w:rsidRPr="00D03E52">
        <w:rPr>
          <w:sz w:val="24"/>
          <w:szCs w:val="24"/>
          <w:lang w:val="en-US"/>
        </w:rPr>
        <w:t xml:space="preserve"> </w:t>
      </w:r>
      <w:r w:rsidRPr="00D03E52">
        <w:rPr>
          <w:color w:val="FF0000"/>
          <w:sz w:val="24"/>
          <w:szCs w:val="24"/>
          <w:lang w:val="en-US"/>
        </w:rPr>
        <w:t>UN pensioners living in S</w:t>
      </w:r>
      <w:r>
        <w:rPr>
          <w:color w:val="FF0000"/>
          <w:sz w:val="24"/>
          <w:szCs w:val="24"/>
          <w:lang w:val="en-US"/>
        </w:rPr>
        <w:t xml:space="preserve">pain have suffered a </w:t>
      </w:r>
      <w:proofErr w:type="spellStart"/>
      <w:r>
        <w:rPr>
          <w:color w:val="FF0000"/>
          <w:sz w:val="24"/>
          <w:szCs w:val="24"/>
          <w:lang w:val="en-US"/>
        </w:rPr>
        <w:t>lost</w:t>
      </w:r>
      <w:proofErr w:type="spellEnd"/>
      <w:r>
        <w:rPr>
          <w:color w:val="FF0000"/>
          <w:sz w:val="24"/>
          <w:szCs w:val="24"/>
          <w:lang w:val="en-US"/>
        </w:rPr>
        <w:t xml:space="preserve"> of 2</w:t>
      </w:r>
      <w:r w:rsidRPr="00D03E52">
        <w:rPr>
          <w:color w:val="FF0000"/>
          <w:sz w:val="24"/>
          <w:szCs w:val="24"/>
          <w:lang w:val="en-US"/>
        </w:rPr>
        <w:t xml:space="preserve">% of their purchasing </w:t>
      </w:r>
      <w:r w:rsidRPr="002E1346">
        <w:rPr>
          <w:color w:val="FF0000"/>
          <w:sz w:val="24"/>
          <w:szCs w:val="24"/>
          <w:lang w:val="en-US"/>
        </w:rPr>
        <w:t>power</w:t>
      </w:r>
      <w:r w:rsidRPr="00E2240C">
        <w:rPr>
          <w:color w:val="943634"/>
          <w:sz w:val="24"/>
          <w:szCs w:val="24"/>
          <w:lang w:val="en-US"/>
        </w:rPr>
        <w:t xml:space="preserve"> in terms of their floor pension starting from the latter date.</w:t>
      </w:r>
    </w:p>
    <w:p w:rsidR="00D2209E" w:rsidRPr="00652582" w:rsidRDefault="00D2209E">
      <w:pPr>
        <w:rPr>
          <w:color w:val="943634"/>
          <w:sz w:val="24"/>
          <w:szCs w:val="24"/>
          <w:lang w:val="en-US"/>
        </w:rPr>
      </w:pPr>
      <w:r w:rsidRPr="00652582">
        <w:rPr>
          <w:color w:val="943634"/>
          <w:sz w:val="24"/>
          <w:szCs w:val="24"/>
          <w:lang w:val="en-US"/>
        </w:rPr>
        <w:lastRenderedPageBreak/>
        <w:t xml:space="preserve">Of course, since the dollar raised a lot in 2014-2016, </w:t>
      </w:r>
      <w:r>
        <w:rPr>
          <w:color w:val="943634"/>
          <w:sz w:val="24"/>
          <w:szCs w:val="24"/>
          <w:lang w:val="en-US"/>
        </w:rPr>
        <w:t>retirees</w:t>
      </w:r>
      <w:r w:rsidRPr="00652582">
        <w:rPr>
          <w:color w:val="943634"/>
          <w:sz w:val="24"/>
          <w:szCs w:val="24"/>
          <w:lang w:val="en-US"/>
        </w:rPr>
        <w:t xml:space="preserve"> in the local track in </w:t>
      </w:r>
      <w:smartTag w:uri="urn:schemas-microsoft-com:office:smarttags" w:element="place">
        <w:smartTag w:uri="urn:schemas-microsoft-com:office:smarttags" w:element="country-region">
          <w:r w:rsidRPr="00652582">
            <w:rPr>
              <w:color w:val="943634"/>
              <w:sz w:val="24"/>
              <w:szCs w:val="24"/>
              <w:lang w:val="en-US"/>
            </w:rPr>
            <w:t>Spain</w:t>
          </w:r>
        </w:smartTag>
      </w:smartTag>
      <w:r w:rsidRPr="00652582">
        <w:rPr>
          <w:color w:val="943634"/>
          <w:sz w:val="24"/>
          <w:szCs w:val="24"/>
          <w:lang w:val="en-US"/>
        </w:rPr>
        <w:t xml:space="preserve"> got more money t</w:t>
      </w:r>
      <w:r>
        <w:rPr>
          <w:color w:val="943634"/>
          <w:sz w:val="24"/>
          <w:szCs w:val="24"/>
          <w:lang w:val="en-US"/>
        </w:rPr>
        <w:t>h</w:t>
      </w:r>
      <w:r w:rsidRPr="00652582">
        <w:rPr>
          <w:color w:val="943634"/>
          <w:sz w:val="24"/>
          <w:szCs w:val="24"/>
          <w:lang w:val="en-US"/>
        </w:rPr>
        <w:t xml:space="preserve">an expected, they were happy, and did not bother to check the </w:t>
      </w:r>
      <w:smartTag w:uri="urn:schemas-microsoft-com:office:smarttags" w:element="place">
        <w:smartTag w:uri="urn:schemas-microsoft-com:office:smarttags" w:element="State">
          <w:r w:rsidRPr="00652582">
            <w:rPr>
              <w:color w:val="943634"/>
              <w:sz w:val="24"/>
              <w:szCs w:val="24"/>
              <w:lang w:val="en-US"/>
            </w:rPr>
            <w:t>COL</w:t>
          </w:r>
        </w:smartTag>
      </w:smartTag>
      <w:r w:rsidRPr="00652582">
        <w:rPr>
          <w:color w:val="943634"/>
          <w:sz w:val="24"/>
          <w:szCs w:val="24"/>
          <w:lang w:val="en-US"/>
        </w:rPr>
        <w:t xml:space="preserve"> figures.</w:t>
      </w:r>
    </w:p>
    <w:p w:rsidR="00D2209E" w:rsidRPr="00652582" w:rsidRDefault="00D2209E">
      <w:pPr>
        <w:rPr>
          <w:color w:val="943634"/>
          <w:sz w:val="24"/>
          <w:szCs w:val="24"/>
          <w:lang w:val="en-US"/>
        </w:rPr>
      </w:pPr>
      <w:r w:rsidRPr="00652582">
        <w:rPr>
          <w:color w:val="943634"/>
          <w:sz w:val="24"/>
          <w:szCs w:val="24"/>
          <w:lang w:val="en-US"/>
        </w:rPr>
        <w:t xml:space="preserve"> </w:t>
      </w:r>
    </w:p>
    <w:p w:rsidR="00D2209E" w:rsidRPr="00652582" w:rsidRDefault="00D2209E">
      <w:pPr>
        <w:rPr>
          <w:b/>
          <w:bCs/>
          <w:color w:val="943634"/>
          <w:sz w:val="32"/>
          <w:szCs w:val="32"/>
          <w:lang w:val="en-US"/>
        </w:rPr>
      </w:pPr>
      <w:r w:rsidRPr="00652582">
        <w:rPr>
          <w:b/>
          <w:bCs/>
          <w:color w:val="943634"/>
          <w:sz w:val="32"/>
          <w:szCs w:val="32"/>
          <w:lang w:val="en-US"/>
        </w:rPr>
        <w:t>2014-2016</w:t>
      </w:r>
    </w:p>
    <w:p w:rsidR="00D2209E" w:rsidRPr="00652582" w:rsidRDefault="00D2209E" w:rsidP="008F66A3">
      <w:pPr>
        <w:rPr>
          <w:color w:val="943634"/>
          <w:sz w:val="24"/>
          <w:szCs w:val="24"/>
          <w:lang w:val="en-US"/>
        </w:rPr>
      </w:pPr>
      <w:r w:rsidRPr="00652582">
        <w:rPr>
          <w:color w:val="943634"/>
          <w:sz w:val="24"/>
          <w:szCs w:val="24"/>
          <w:lang w:val="en-US"/>
        </w:rPr>
        <w:t xml:space="preserve">Concerning 2014-2016, in one of the messages I got from </w:t>
      </w:r>
      <w:r>
        <w:rPr>
          <w:color w:val="943634"/>
          <w:sz w:val="24"/>
          <w:szCs w:val="24"/>
          <w:lang w:val="en-US"/>
        </w:rPr>
        <w:t>UNJSPF</w:t>
      </w:r>
      <w:r w:rsidRPr="00652582">
        <w:rPr>
          <w:color w:val="943634"/>
          <w:sz w:val="24"/>
          <w:szCs w:val="24"/>
          <w:lang w:val="en-US"/>
        </w:rPr>
        <w:t xml:space="preserve">, </w:t>
      </w:r>
      <w:r>
        <w:rPr>
          <w:color w:val="943634"/>
          <w:sz w:val="24"/>
          <w:szCs w:val="24"/>
          <w:lang w:val="en-US"/>
        </w:rPr>
        <w:t>I was</w:t>
      </w:r>
      <w:r w:rsidRPr="00652582">
        <w:rPr>
          <w:color w:val="943634"/>
          <w:sz w:val="24"/>
          <w:szCs w:val="24"/>
          <w:lang w:val="en-US"/>
        </w:rPr>
        <w:t xml:space="preserve"> told that there would be no </w:t>
      </w:r>
      <w:r>
        <w:rPr>
          <w:color w:val="943634"/>
          <w:sz w:val="24"/>
          <w:szCs w:val="24"/>
          <w:lang w:val="en-US"/>
        </w:rPr>
        <w:t>change in</w:t>
      </w:r>
      <w:r w:rsidRPr="00652582">
        <w:rPr>
          <w:color w:val="943634"/>
          <w:sz w:val="24"/>
          <w:szCs w:val="24"/>
          <w:lang w:val="en-US"/>
        </w:rPr>
        <w:t xml:space="preserve"> the pension in April 2017, since the COL increase was +1.6% during that period. I have checked that with the INE calculator and yes, it gives me exactly that figure: +1.6%. Here is a screenshot:</w:t>
      </w:r>
    </w:p>
    <w:p w:rsidR="00D2209E" w:rsidRPr="00D03E52" w:rsidRDefault="008346DB">
      <w:pPr>
        <w:rPr>
          <w:sz w:val="24"/>
          <w:szCs w:val="24"/>
          <w:lang w:val="en-US"/>
        </w:rPr>
      </w:pPr>
      <w:r>
        <w:rPr>
          <w:noProof/>
          <w:lang w:val="en-GB" w:eastAsia="en-GB"/>
        </w:rPr>
        <w:drawing>
          <wp:inline distT="0" distB="0" distL="0" distR="0">
            <wp:extent cx="5345430" cy="1085215"/>
            <wp:effectExtent l="0" t="0" r="7620" b="635"/>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5430" cy="1085215"/>
                    </a:xfrm>
                    <a:prstGeom prst="rect">
                      <a:avLst/>
                    </a:prstGeom>
                    <a:noFill/>
                    <a:ln>
                      <a:noFill/>
                    </a:ln>
                  </pic:spPr>
                </pic:pic>
              </a:graphicData>
            </a:graphic>
          </wp:inline>
        </w:drawing>
      </w:r>
    </w:p>
    <w:p w:rsidR="00D2209E" w:rsidRPr="00D03E52" w:rsidRDefault="00D2209E">
      <w:pPr>
        <w:rPr>
          <w:b/>
          <w:bCs/>
          <w:sz w:val="32"/>
          <w:szCs w:val="32"/>
          <w:lang w:val="en-US"/>
        </w:rPr>
      </w:pPr>
    </w:p>
    <w:p w:rsidR="00D2209E" w:rsidRPr="00652582" w:rsidRDefault="00D2209E">
      <w:pPr>
        <w:rPr>
          <w:b/>
          <w:bCs/>
          <w:color w:val="943634"/>
          <w:sz w:val="32"/>
          <w:szCs w:val="32"/>
          <w:lang w:val="en-US"/>
        </w:rPr>
      </w:pPr>
      <w:r w:rsidRPr="00652582">
        <w:rPr>
          <w:b/>
          <w:bCs/>
          <w:color w:val="943634"/>
          <w:sz w:val="32"/>
          <w:szCs w:val="32"/>
          <w:lang w:val="en-US"/>
        </w:rPr>
        <w:t>Conclusions concerning 2011-2016</w:t>
      </w:r>
    </w:p>
    <w:p w:rsidR="00D2209E" w:rsidRPr="00652582" w:rsidRDefault="00D2209E">
      <w:pPr>
        <w:rPr>
          <w:color w:val="943634"/>
          <w:sz w:val="24"/>
          <w:szCs w:val="24"/>
          <w:lang w:val="en-US"/>
        </w:rPr>
      </w:pPr>
      <w:r>
        <w:rPr>
          <w:color w:val="943634"/>
          <w:sz w:val="24"/>
          <w:szCs w:val="24"/>
          <w:lang w:val="en-US"/>
        </w:rPr>
        <w:t>The UNJSPF</w:t>
      </w:r>
      <w:r w:rsidRPr="00652582">
        <w:rPr>
          <w:color w:val="943634"/>
          <w:sz w:val="24"/>
          <w:szCs w:val="24"/>
          <w:lang w:val="en-US"/>
        </w:rPr>
        <w:t xml:space="preserve"> data for 2011-2012 and 2014-2016 match very well with the INE data. This fact is an additional argument for considering that, concerning the </w:t>
      </w:r>
      <w:r>
        <w:rPr>
          <w:color w:val="943634"/>
          <w:sz w:val="24"/>
          <w:szCs w:val="24"/>
          <w:lang w:val="en-US"/>
        </w:rPr>
        <w:t xml:space="preserve">data for 2012 -2014, the Fund </w:t>
      </w:r>
      <w:r w:rsidRPr="00652582">
        <w:rPr>
          <w:color w:val="943634"/>
          <w:sz w:val="24"/>
          <w:szCs w:val="24"/>
          <w:lang w:val="en-US"/>
        </w:rPr>
        <w:t xml:space="preserve">made a serious mistake (to say the least) when using -2.8% instead of -0,8%. </w:t>
      </w:r>
    </w:p>
    <w:p w:rsidR="00D2209E" w:rsidRPr="00652582" w:rsidRDefault="00D2209E">
      <w:pPr>
        <w:rPr>
          <w:color w:val="943634"/>
          <w:sz w:val="24"/>
          <w:szCs w:val="24"/>
          <w:lang w:val="en-US"/>
        </w:rPr>
      </w:pPr>
      <w:r w:rsidRPr="00652582">
        <w:rPr>
          <w:color w:val="943634"/>
          <w:sz w:val="24"/>
          <w:szCs w:val="24"/>
          <w:lang w:val="en-US"/>
        </w:rPr>
        <w:t xml:space="preserve">Instead of recognizing </w:t>
      </w:r>
      <w:r>
        <w:rPr>
          <w:color w:val="943634"/>
          <w:sz w:val="24"/>
          <w:szCs w:val="24"/>
          <w:lang w:val="en-US"/>
        </w:rPr>
        <w:t>that</w:t>
      </w:r>
      <w:r w:rsidRPr="00652582">
        <w:rPr>
          <w:color w:val="943634"/>
          <w:sz w:val="24"/>
          <w:szCs w:val="24"/>
          <w:lang w:val="en-US"/>
        </w:rPr>
        <w:t xml:space="preserve"> mistake, after my inquiries, </w:t>
      </w:r>
      <w:r>
        <w:rPr>
          <w:color w:val="943634"/>
          <w:sz w:val="24"/>
          <w:szCs w:val="24"/>
          <w:lang w:val="en-US"/>
        </w:rPr>
        <w:t>the Fund has</w:t>
      </w:r>
      <w:r w:rsidRPr="00652582">
        <w:rPr>
          <w:color w:val="943634"/>
          <w:sz w:val="24"/>
          <w:szCs w:val="24"/>
          <w:lang w:val="en-US"/>
        </w:rPr>
        <w:t xml:space="preserve"> decided to add another mistake (considering that +2.9% was wrong). </w:t>
      </w:r>
      <w:r>
        <w:rPr>
          <w:color w:val="943634"/>
          <w:sz w:val="24"/>
          <w:szCs w:val="24"/>
          <w:lang w:val="en-US"/>
        </w:rPr>
        <w:t>A mistake that –surprise!</w:t>
      </w:r>
      <w:r w:rsidRPr="00652582">
        <w:rPr>
          <w:color w:val="943634"/>
          <w:sz w:val="24"/>
          <w:szCs w:val="24"/>
          <w:lang w:val="en-US"/>
        </w:rPr>
        <w:t xml:space="preserve">- is </w:t>
      </w:r>
      <w:r>
        <w:rPr>
          <w:color w:val="943634"/>
          <w:sz w:val="24"/>
          <w:szCs w:val="24"/>
          <w:lang w:val="en-US"/>
        </w:rPr>
        <w:t>the opposite of the first one</w:t>
      </w:r>
      <w:r w:rsidRPr="00652582">
        <w:rPr>
          <w:color w:val="943634"/>
          <w:sz w:val="24"/>
          <w:szCs w:val="24"/>
          <w:lang w:val="en-US"/>
        </w:rPr>
        <w:t xml:space="preserve"> and has the same magnitude, so they cancel each other out. </w:t>
      </w:r>
    </w:p>
    <w:p w:rsidR="00D2209E" w:rsidRDefault="00D2209E">
      <w:pPr>
        <w:rPr>
          <w:color w:val="943634"/>
          <w:sz w:val="24"/>
          <w:szCs w:val="24"/>
          <w:lang w:val="en-US"/>
        </w:rPr>
      </w:pPr>
      <w:r w:rsidRPr="00652582">
        <w:rPr>
          <w:color w:val="943634"/>
          <w:sz w:val="24"/>
          <w:szCs w:val="24"/>
          <w:lang w:val="en-US"/>
        </w:rPr>
        <w:t xml:space="preserve">In the graph below </w:t>
      </w:r>
      <w:r>
        <w:rPr>
          <w:color w:val="943634"/>
          <w:sz w:val="24"/>
          <w:szCs w:val="24"/>
          <w:lang w:val="en-US"/>
        </w:rPr>
        <w:t>we</w:t>
      </w:r>
      <w:r w:rsidRPr="00652582">
        <w:rPr>
          <w:color w:val="943634"/>
          <w:sz w:val="24"/>
          <w:szCs w:val="24"/>
          <w:lang w:val="en-US"/>
        </w:rPr>
        <w:t xml:space="preserve"> can see the difference between the real index and the wrong index, taking the 2011 value as 100. From now on, if there is no change, Spanish pensioners will get 2% less money each month whenever the dollar falls below the exchange rate guaranteed when retiring. </w:t>
      </w:r>
    </w:p>
    <w:p w:rsidR="00D2209E" w:rsidRDefault="00D2209E">
      <w:pPr>
        <w:rPr>
          <w:color w:val="943634"/>
          <w:sz w:val="24"/>
          <w:szCs w:val="24"/>
          <w:lang w:val="en-US"/>
        </w:rPr>
      </w:pPr>
    </w:p>
    <w:p w:rsidR="00D2209E" w:rsidRDefault="00D2209E">
      <w:pPr>
        <w:rPr>
          <w:color w:val="943634"/>
          <w:sz w:val="24"/>
          <w:szCs w:val="24"/>
          <w:lang w:val="en-US"/>
        </w:rPr>
      </w:pPr>
    </w:p>
    <w:p w:rsidR="00D2209E" w:rsidRDefault="00D2209E">
      <w:pPr>
        <w:rPr>
          <w:color w:val="943634"/>
          <w:sz w:val="24"/>
          <w:szCs w:val="24"/>
          <w:lang w:val="en-US"/>
        </w:rPr>
      </w:pPr>
    </w:p>
    <w:p w:rsidR="00D2209E" w:rsidRDefault="00D2209E">
      <w:pPr>
        <w:rPr>
          <w:color w:val="943634"/>
          <w:sz w:val="24"/>
          <w:szCs w:val="24"/>
          <w:lang w:val="en-US"/>
        </w:rPr>
      </w:pPr>
    </w:p>
    <w:p w:rsidR="00D2209E" w:rsidRDefault="00D2209E">
      <w:pPr>
        <w:rPr>
          <w:color w:val="943634"/>
          <w:sz w:val="24"/>
          <w:szCs w:val="24"/>
          <w:lang w:val="en-US"/>
        </w:rPr>
      </w:pPr>
    </w:p>
    <w:tbl>
      <w:tblPr>
        <w:tblW w:w="9639" w:type="dxa"/>
        <w:tblInd w:w="-214" w:type="dxa"/>
        <w:tblCellMar>
          <w:left w:w="70" w:type="dxa"/>
          <w:right w:w="70" w:type="dxa"/>
        </w:tblCellMar>
        <w:tblLook w:val="00A0" w:firstRow="1" w:lastRow="0" w:firstColumn="1" w:lastColumn="0" w:noHBand="0" w:noVBand="0"/>
      </w:tblPr>
      <w:tblGrid>
        <w:gridCol w:w="708"/>
        <w:gridCol w:w="1348"/>
        <w:gridCol w:w="1448"/>
        <w:gridCol w:w="1340"/>
        <w:gridCol w:w="1216"/>
        <w:gridCol w:w="1216"/>
        <w:gridCol w:w="1216"/>
        <w:gridCol w:w="1147"/>
      </w:tblGrid>
      <w:tr w:rsidR="00D2209E" w:rsidRPr="001010D1">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44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0" w:type="dxa"/>
            <w:tcBorders>
              <w:top w:val="nil"/>
              <w:left w:val="nil"/>
              <w:bottom w:val="nil"/>
              <w:right w:val="nil"/>
            </w:tcBorders>
            <w:noWrap/>
            <w:vAlign w:val="bottom"/>
          </w:tcPr>
          <w:p w:rsidR="00D2209E" w:rsidRPr="00C907C7" w:rsidRDefault="008346DB" w:rsidP="00C907C7">
            <w:pPr>
              <w:spacing w:after="0" w:line="240" w:lineRule="auto"/>
              <w:rPr>
                <w:color w:val="000000"/>
                <w:lang w:val="en-US" w:eastAsia="es-ES"/>
              </w:rPr>
            </w:pPr>
            <w:r>
              <w:rPr>
                <w:noProof/>
                <w:lang w:val="en-GB" w:eastAsia="en-GB"/>
              </w:rPr>
              <w:drawing>
                <wp:anchor distT="0" distB="762" distL="114300" distR="114300" simplePos="0" relativeHeight="251658240" behindDoc="0" locked="0" layoutInCell="1" allowOverlap="1">
                  <wp:simplePos x="0" y="0"/>
                  <wp:positionH relativeFrom="column">
                    <wp:posOffset>140335</wp:posOffset>
                  </wp:positionH>
                  <wp:positionV relativeFrom="paragraph">
                    <wp:posOffset>136525</wp:posOffset>
                  </wp:positionV>
                  <wp:extent cx="3554095" cy="2462530"/>
                  <wp:effectExtent l="0" t="0" r="8255" b="0"/>
                  <wp:wrapNone/>
                  <wp:docPr id="5" name="3 Gráfi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Gráfico"/>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095" cy="24625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1200"/>
            </w:tblGrid>
            <w:tr w:rsidR="00D2209E" w:rsidRPr="001010D1">
              <w:trPr>
                <w:trHeight w:val="300"/>
                <w:tblCellSpacing w:w="0" w:type="dxa"/>
              </w:trPr>
              <w:tc>
                <w:tcPr>
                  <w:tcW w:w="120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bl>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 xml:space="preserve">real </w:t>
            </w:r>
            <w:smartTag w:uri="urn:schemas-microsoft-com:office:smarttags" w:element="place">
              <w:smartTag w:uri="urn:schemas-microsoft-com:office:smarttags" w:element="State">
                <w:r w:rsidRPr="00C907C7">
                  <w:rPr>
                    <w:color w:val="000000"/>
                    <w:lang w:val="en-US" w:eastAsia="es-ES"/>
                  </w:rPr>
                  <w:t>COL</w:t>
                </w:r>
              </w:smartTag>
            </w:smartTag>
            <w:r w:rsidRPr="00C907C7">
              <w:rPr>
                <w:color w:val="000000"/>
                <w:lang w:val="en-US" w:eastAsia="es-ES"/>
              </w:rPr>
              <w:t xml:space="preserve"> </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 xml:space="preserve">WRONG </w:t>
            </w:r>
            <w:smartTag w:uri="urn:schemas-microsoft-com:office:smarttags" w:element="place">
              <w:smartTag w:uri="urn:schemas-microsoft-com:office:smarttags" w:element="State">
                <w:r w:rsidRPr="00C907C7">
                  <w:rPr>
                    <w:color w:val="000000"/>
                    <w:lang w:val="en-US" w:eastAsia="es-ES"/>
                  </w:rPr>
                  <w:t>COL</w:t>
                </w:r>
              </w:smartTag>
            </w:smartTag>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2011</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100,00</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100,00</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2012</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102,90</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102,90</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2014</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102,08</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100,02</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2016</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103,71</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r w:rsidRPr="00C907C7">
              <w:rPr>
                <w:color w:val="000000"/>
                <w:lang w:val="en-US" w:eastAsia="es-ES"/>
              </w:rPr>
              <w:t>101,62</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000000"/>
                <w:lang w:val="en-US" w:eastAsia="es-ES"/>
              </w:rPr>
            </w:pP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70C0"/>
                <w:lang w:val="en-US" w:eastAsia="es-ES"/>
              </w:rPr>
            </w:pPr>
            <w:r w:rsidRPr="00C907C7">
              <w:rPr>
                <w:color w:val="0070C0"/>
                <w:lang w:val="en-US" w:eastAsia="es-ES"/>
              </w:rPr>
              <w:t xml:space="preserve">REAL </w:t>
            </w:r>
            <w:smartTag w:uri="urn:schemas-microsoft-com:office:smarttags" w:element="place">
              <w:smartTag w:uri="urn:schemas-microsoft-com:office:smarttags" w:element="State">
                <w:r w:rsidRPr="00C907C7">
                  <w:rPr>
                    <w:color w:val="0070C0"/>
                    <w:lang w:val="en-US" w:eastAsia="es-ES"/>
                  </w:rPr>
                  <w:t>COL</w:t>
                </w:r>
              </w:smartTag>
            </w:smartTag>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C00000"/>
                <w:lang w:val="en-US" w:eastAsia="es-ES"/>
              </w:rPr>
            </w:pPr>
            <w:r w:rsidRPr="00C907C7">
              <w:rPr>
                <w:color w:val="C00000"/>
                <w:lang w:val="en-US" w:eastAsia="es-ES"/>
              </w:rPr>
              <w:t>WRONG</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1</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70C0"/>
                <w:lang w:val="en-US" w:eastAsia="es-ES"/>
              </w:rPr>
            </w:pPr>
            <w:r w:rsidRPr="00C907C7">
              <w:rPr>
                <w:color w:val="0070C0"/>
                <w:lang w:val="en-US" w:eastAsia="es-ES"/>
              </w:rPr>
              <w:t>100,00</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C00000"/>
                <w:lang w:val="en-US" w:eastAsia="es-ES"/>
              </w:rPr>
            </w:pPr>
            <w:r w:rsidRPr="00C907C7">
              <w:rPr>
                <w:color w:val="C00000"/>
                <w:lang w:val="en-US" w:eastAsia="es-ES"/>
              </w:rPr>
              <w:t>100,00</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2</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70C0"/>
                <w:lang w:val="en-US" w:eastAsia="es-ES"/>
              </w:rPr>
            </w:pPr>
            <w:r w:rsidRPr="00C907C7">
              <w:rPr>
                <w:color w:val="0070C0"/>
                <w:lang w:val="en-US" w:eastAsia="es-ES"/>
              </w:rPr>
              <w:t>102,90</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C00000"/>
                <w:lang w:val="en-US" w:eastAsia="es-ES"/>
              </w:rPr>
            </w:pPr>
            <w:r w:rsidRPr="00C907C7">
              <w:rPr>
                <w:color w:val="C00000"/>
                <w:lang w:val="en-US" w:eastAsia="es-ES"/>
              </w:rPr>
              <w:t>102,90</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4</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70C0"/>
                <w:lang w:val="en-US" w:eastAsia="es-ES"/>
              </w:rPr>
            </w:pPr>
            <w:r w:rsidRPr="00C907C7">
              <w:rPr>
                <w:color w:val="0070C0"/>
                <w:lang w:val="en-US" w:eastAsia="es-ES"/>
              </w:rPr>
              <w:t>102,08</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C00000"/>
                <w:lang w:val="en-US" w:eastAsia="es-ES"/>
              </w:rPr>
            </w:pPr>
            <w:r w:rsidRPr="00C907C7">
              <w:rPr>
                <w:color w:val="C00000"/>
                <w:lang w:val="en-US" w:eastAsia="es-ES"/>
              </w:rPr>
              <w:t>100,02</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jc w:val="right"/>
              <w:rPr>
                <w:color w:val="000000"/>
                <w:lang w:val="en-US" w:eastAsia="es-ES"/>
              </w:rPr>
            </w:pPr>
            <w:r w:rsidRPr="00C907C7">
              <w:rPr>
                <w:color w:val="000000"/>
                <w:lang w:val="en-US" w:eastAsia="es-ES"/>
              </w:rPr>
              <w:t>6</w:t>
            </w:r>
          </w:p>
        </w:tc>
        <w:tc>
          <w:tcPr>
            <w:tcW w:w="1348" w:type="dxa"/>
            <w:tcBorders>
              <w:top w:val="nil"/>
              <w:left w:val="nil"/>
              <w:bottom w:val="nil"/>
              <w:right w:val="nil"/>
            </w:tcBorders>
            <w:noWrap/>
            <w:vAlign w:val="bottom"/>
          </w:tcPr>
          <w:p w:rsidR="00D2209E" w:rsidRPr="00C907C7" w:rsidRDefault="00D2209E" w:rsidP="00C907C7">
            <w:pPr>
              <w:spacing w:after="0" w:line="240" w:lineRule="auto"/>
              <w:jc w:val="center"/>
              <w:rPr>
                <w:color w:val="0070C0"/>
                <w:lang w:val="en-US" w:eastAsia="es-ES"/>
              </w:rPr>
            </w:pPr>
            <w:r w:rsidRPr="00C907C7">
              <w:rPr>
                <w:color w:val="0070C0"/>
                <w:lang w:val="en-US" w:eastAsia="es-ES"/>
              </w:rPr>
              <w:t>103,71</w:t>
            </w:r>
          </w:p>
        </w:tc>
        <w:tc>
          <w:tcPr>
            <w:tcW w:w="1448" w:type="dxa"/>
            <w:tcBorders>
              <w:top w:val="nil"/>
              <w:left w:val="nil"/>
              <w:bottom w:val="nil"/>
              <w:right w:val="nil"/>
            </w:tcBorders>
            <w:noWrap/>
            <w:vAlign w:val="bottom"/>
          </w:tcPr>
          <w:p w:rsidR="00D2209E" w:rsidRPr="00C907C7" w:rsidRDefault="00D2209E" w:rsidP="00C907C7">
            <w:pPr>
              <w:spacing w:after="0" w:line="240" w:lineRule="auto"/>
              <w:jc w:val="center"/>
              <w:rPr>
                <w:color w:val="C00000"/>
                <w:lang w:val="en-US" w:eastAsia="es-ES"/>
              </w:rPr>
            </w:pPr>
            <w:r w:rsidRPr="00C907C7">
              <w:rPr>
                <w:color w:val="C00000"/>
                <w:lang w:val="en-US" w:eastAsia="es-ES"/>
              </w:rPr>
              <w:t>101,62</w:t>
            </w: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r w:rsidR="00D2209E" w:rsidRPr="00A3397B">
        <w:trPr>
          <w:trHeight w:val="300"/>
        </w:trPr>
        <w:tc>
          <w:tcPr>
            <w:tcW w:w="70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448"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340"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216"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c>
          <w:tcPr>
            <w:tcW w:w="1147" w:type="dxa"/>
            <w:tcBorders>
              <w:top w:val="nil"/>
              <w:left w:val="nil"/>
              <w:bottom w:val="nil"/>
              <w:right w:val="nil"/>
            </w:tcBorders>
            <w:noWrap/>
            <w:vAlign w:val="bottom"/>
          </w:tcPr>
          <w:p w:rsidR="00D2209E" w:rsidRPr="00C907C7" w:rsidRDefault="00D2209E" w:rsidP="00C907C7">
            <w:pPr>
              <w:spacing w:after="0" w:line="240" w:lineRule="auto"/>
              <w:rPr>
                <w:color w:val="000000"/>
                <w:lang w:val="en-US" w:eastAsia="es-ES"/>
              </w:rPr>
            </w:pPr>
          </w:p>
        </w:tc>
      </w:tr>
    </w:tbl>
    <w:p w:rsidR="00D2209E" w:rsidRPr="00652582" w:rsidRDefault="00D2209E">
      <w:pPr>
        <w:rPr>
          <w:color w:val="943634"/>
          <w:sz w:val="24"/>
          <w:szCs w:val="24"/>
          <w:lang w:val="en-US"/>
        </w:rPr>
      </w:pPr>
    </w:p>
    <w:p w:rsidR="00D2209E" w:rsidRPr="00652582" w:rsidRDefault="00D2209E">
      <w:pPr>
        <w:rPr>
          <w:b/>
          <w:bCs/>
          <w:color w:val="943634"/>
          <w:sz w:val="24"/>
          <w:szCs w:val="24"/>
          <w:lang w:val="en-US"/>
        </w:rPr>
      </w:pPr>
      <w:r w:rsidRPr="00652582">
        <w:rPr>
          <w:b/>
          <w:bCs/>
          <w:color w:val="943634"/>
          <w:sz w:val="24"/>
          <w:szCs w:val="24"/>
          <w:lang w:val="en-US"/>
        </w:rPr>
        <w:t>AN EASY SOLUTION</w:t>
      </w:r>
    </w:p>
    <w:p w:rsidR="00D2209E" w:rsidRPr="00652582" w:rsidRDefault="00D2209E" w:rsidP="00652582">
      <w:pPr>
        <w:rPr>
          <w:color w:val="943634"/>
          <w:sz w:val="24"/>
          <w:szCs w:val="24"/>
          <w:lang w:val="en-US"/>
        </w:rPr>
      </w:pPr>
      <w:r>
        <w:rPr>
          <w:color w:val="943634"/>
          <w:sz w:val="24"/>
          <w:szCs w:val="24"/>
          <w:lang w:val="en-US"/>
        </w:rPr>
        <w:t xml:space="preserve">The Fund has underlined to me the content of </w:t>
      </w:r>
      <w:r w:rsidRPr="00652582">
        <w:rPr>
          <w:b/>
          <w:bCs/>
          <w:color w:val="943634"/>
          <w:sz w:val="24"/>
          <w:szCs w:val="24"/>
          <w:lang w:val="en-US"/>
        </w:rPr>
        <w:t>Section G, paragraph 14</w:t>
      </w:r>
      <w:r w:rsidRPr="00652582">
        <w:rPr>
          <w:color w:val="943634"/>
          <w:sz w:val="24"/>
          <w:szCs w:val="24"/>
          <w:lang w:val="en-US"/>
        </w:rPr>
        <w:t xml:space="preserve"> of the UNJSPF Pension Adjustment System. Let’s have a look at it: </w:t>
      </w:r>
    </w:p>
    <w:p w:rsidR="00D2209E" w:rsidRPr="00652582" w:rsidRDefault="00D2209E" w:rsidP="00EA2D0D">
      <w:pPr>
        <w:autoSpaceDE w:val="0"/>
        <w:autoSpaceDN w:val="0"/>
        <w:adjustRightInd w:val="0"/>
        <w:spacing w:after="0" w:line="240" w:lineRule="auto"/>
        <w:rPr>
          <w:color w:val="943634"/>
          <w:sz w:val="24"/>
          <w:szCs w:val="24"/>
          <w:lang w:val="en-US"/>
        </w:rPr>
      </w:pPr>
    </w:p>
    <w:p w:rsidR="00D2209E" w:rsidRPr="00D03E52" w:rsidRDefault="00D2209E" w:rsidP="00D03E52">
      <w:pPr>
        <w:ind w:left="851" w:right="1274"/>
        <w:rPr>
          <w:rFonts w:ascii="Arial" w:hAnsi="Arial" w:cs="Arial"/>
          <w:i/>
          <w:iCs/>
          <w:color w:val="222222"/>
          <w:shd w:val="clear" w:color="auto" w:fill="FFFFFF"/>
          <w:lang w:val="en-US"/>
        </w:rPr>
      </w:pPr>
      <w:r w:rsidRPr="00652582">
        <w:rPr>
          <w:rFonts w:ascii="Arial" w:hAnsi="Arial" w:cs="Arial"/>
          <w:i/>
          <w:iCs/>
          <w:shd w:val="clear" w:color="auto" w:fill="FFFFFF"/>
          <w:lang w:val="en-US"/>
        </w:rPr>
        <w:t>14. For measuring changes in the CPI for the United States and for a particular country of residence, the index used is the official CPI for the country as a whole issued by the national Government and published in the United Nations Monthly Bulletin of Statistics. Where no such index is published in the United Nations Monthly Bulletin of Statistics for a particular country or area, another regularly published index specified by the Statistics Division of Department of Economic and Social Affairs of the United Nations may be utilized. Once an index has been utilized to give effect to an adjustment, any subsequent amendment or correction of that index will not give rise to</w:t>
      </w:r>
      <w:r w:rsidRPr="00652582">
        <w:rPr>
          <w:rFonts w:ascii="Arial" w:hAnsi="Arial" w:cs="Arial"/>
          <w:i/>
          <w:iCs/>
          <w:color w:val="943634"/>
          <w:shd w:val="clear" w:color="auto" w:fill="FFFFFF"/>
          <w:lang w:val="en-US"/>
        </w:rPr>
        <w:t> </w:t>
      </w:r>
      <w:r w:rsidRPr="00D03E52">
        <w:rPr>
          <w:rFonts w:ascii="Arial" w:hAnsi="Arial" w:cs="Arial"/>
          <w:b/>
          <w:bCs/>
          <w:i/>
          <w:iCs/>
          <w:color w:val="CC0000"/>
          <w:shd w:val="clear" w:color="auto" w:fill="FFFFFF"/>
          <w:lang w:val="en-US"/>
        </w:rPr>
        <w:t>retroactive</w:t>
      </w:r>
      <w:r w:rsidRPr="00D03E52">
        <w:rPr>
          <w:rFonts w:ascii="Arial" w:hAnsi="Arial" w:cs="Arial"/>
          <w:i/>
          <w:iCs/>
          <w:color w:val="CC0000"/>
          <w:shd w:val="clear" w:color="auto" w:fill="FFFFFF"/>
          <w:lang w:val="en-US"/>
        </w:rPr>
        <w:t> </w:t>
      </w:r>
      <w:r w:rsidRPr="00D03E52">
        <w:rPr>
          <w:rFonts w:ascii="Arial" w:hAnsi="Arial" w:cs="Arial"/>
          <w:i/>
          <w:iCs/>
          <w:color w:val="222222"/>
          <w:shd w:val="clear" w:color="auto" w:fill="FFFFFF"/>
          <w:lang w:val="en-US"/>
        </w:rPr>
        <w:t>correction of the adjustment. </w:t>
      </w:r>
    </w:p>
    <w:p w:rsidR="00D2209E" w:rsidRPr="00652582" w:rsidRDefault="00D2209E">
      <w:pPr>
        <w:rPr>
          <w:color w:val="943634"/>
          <w:sz w:val="24"/>
          <w:szCs w:val="24"/>
          <w:lang w:val="en-US"/>
        </w:rPr>
      </w:pPr>
      <w:r>
        <w:rPr>
          <w:color w:val="943634"/>
          <w:sz w:val="24"/>
          <w:szCs w:val="24"/>
          <w:lang w:val="en-US"/>
        </w:rPr>
        <w:t>I was told twice</w:t>
      </w:r>
      <w:r w:rsidRPr="00652582">
        <w:rPr>
          <w:color w:val="943634"/>
          <w:sz w:val="24"/>
          <w:szCs w:val="24"/>
          <w:lang w:val="en-US"/>
        </w:rPr>
        <w:t xml:space="preserve"> that, as specified therein, there can be no retroactive correction of the adjustment. That is, no one could claim the 2% difference </w:t>
      </w:r>
      <w:r w:rsidRPr="00652582">
        <w:rPr>
          <w:color w:val="FF0000"/>
          <w:sz w:val="24"/>
          <w:szCs w:val="24"/>
          <w:lang w:val="en-US"/>
        </w:rPr>
        <w:t>RETROACTIVELY</w:t>
      </w:r>
      <w:r>
        <w:rPr>
          <w:color w:val="943634"/>
          <w:sz w:val="24"/>
          <w:szCs w:val="24"/>
          <w:lang w:val="en-US"/>
        </w:rPr>
        <w:t xml:space="preserve">. </w:t>
      </w:r>
      <w:r w:rsidRPr="00652582">
        <w:rPr>
          <w:color w:val="943634"/>
          <w:sz w:val="24"/>
          <w:szCs w:val="24"/>
          <w:lang w:val="en-US"/>
        </w:rPr>
        <w:t xml:space="preserve">I agree. However, this does not prevent </w:t>
      </w:r>
      <w:r>
        <w:rPr>
          <w:color w:val="943634"/>
          <w:sz w:val="24"/>
          <w:szCs w:val="24"/>
          <w:lang w:val="en-US"/>
        </w:rPr>
        <w:t>the Fund</w:t>
      </w:r>
      <w:r w:rsidRPr="00652582">
        <w:rPr>
          <w:color w:val="943634"/>
          <w:sz w:val="24"/>
          <w:szCs w:val="24"/>
          <w:lang w:val="en-US"/>
        </w:rPr>
        <w:t xml:space="preserve"> from correcting the adjustment </w:t>
      </w:r>
      <w:r w:rsidRPr="00652582">
        <w:rPr>
          <w:color w:val="FF0000"/>
          <w:sz w:val="24"/>
          <w:szCs w:val="24"/>
          <w:lang w:val="en-US"/>
        </w:rPr>
        <w:t>IN THE FUTURE</w:t>
      </w:r>
      <w:r w:rsidRPr="00652582">
        <w:rPr>
          <w:color w:val="943634"/>
          <w:sz w:val="24"/>
          <w:szCs w:val="24"/>
          <w:lang w:val="en-US"/>
        </w:rPr>
        <w:t xml:space="preserve">. For example, by </w:t>
      </w:r>
      <w:r w:rsidRPr="00433277">
        <w:rPr>
          <w:b/>
          <w:bCs/>
          <w:color w:val="943634"/>
          <w:sz w:val="24"/>
          <w:szCs w:val="24"/>
          <w:lang w:val="en-US"/>
        </w:rPr>
        <w:t>increasing the index in 2 percentage points in April 2018 in addition to the increase observed between December 2014 and December 2017</w:t>
      </w:r>
      <w:r w:rsidRPr="00652582">
        <w:rPr>
          <w:color w:val="943634"/>
          <w:sz w:val="24"/>
          <w:szCs w:val="24"/>
          <w:lang w:val="en-US"/>
        </w:rPr>
        <w:t xml:space="preserve">. </w:t>
      </w:r>
      <w:r>
        <w:rPr>
          <w:color w:val="943634"/>
          <w:sz w:val="24"/>
          <w:szCs w:val="24"/>
          <w:lang w:val="en-US"/>
        </w:rPr>
        <w:t xml:space="preserve">There is no reason to </w:t>
      </w:r>
      <w:r w:rsidRPr="00652582">
        <w:rPr>
          <w:color w:val="943634"/>
          <w:sz w:val="24"/>
          <w:szCs w:val="24"/>
          <w:lang w:val="en-US"/>
        </w:rPr>
        <w:t xml:space="preserve">feel constrained by </w:t>
      </w:r>
      <w:r>
        <w:rPr>
          <w:color w:val="943634"/>
          <w:sz w:val="24"/>
          <w:szCs w:val="24"/>
          <w:lang w:val="en-US"/>
        </w:rPr>
        <w:t xml:space="preserve">that </w:t>
      </w:r>
      <w:r w:rsidRPr="00652582">
        <w:rPr>
          <w:color w:val="943634"/>
          <w:sz w:val="24"/>
          <w:szCs w:val="24"/>
          <w:lang w:val="en-US"/>
        </w:rPr>
        <w:t xml:space="preserve">paragraph. </w:t>
      </w:r>
      <w:bookmarkStart w:id="0" w:name="_GoBack"/>
      <w:bookmarkEnd w:id="0"/>
    </w:p>
    <w:sectPr w:rsidR="00D2209E" w:rsidRPr="00652582" w:rsidSect="003928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1E"/>
    <w:rsid w:val="000275D4"/>
    <w:rsid w:val="00074E1B"/>
    <w:rsid w:val="000E09B2"/>
    <w:rsid w:val="001010D1"/>
    <w:rsid w:val="002220F0"/>
    <w:rsid w:val="00250EE5"/>
    <w:rsid w:val="0025758F"/>
    <w:rsid w:val="002E1346"/>
    <w:rsid w:val="003049B1"/>
    <w:rsid w:val="00330031"/>
    <w:rsid w:val="00392821"/>
    <w:rsid w:val="004015C9"/>
    <w:rsid w:val="00433277"/>
    <w:rsid w:val="004461AE"/>
    <w:rsid w:val="004D5139"/>
    <w:rsid w:val="0052112F"/>
    <w:rsid w:val="00537ADA"/>
    <w:rsid w:val="005737C4"/>
    <w:rsid w:val="00580408"/>
    <w:rsid w:val="005B16EC"/>
    <w:rsid w:val="005C15B5"/>
    <w:rsid w:val="0062783B"/>
    <w:rsid w:val="00643737"/>
    <w:rsid w:val="00652582"/>
    <w:rsid w:val="006614E1"/>
    <w:rsid w:val="00682893"/>
    <w:rsid w:val="00682DC0"/>
    <w:rsid w:val="00695F35"/>
    <w:rsid w:val="006D0E63"/>
    <w:rsid w:val="0072195F"/>
    <w:rsid w:val="00757899"/>
    <w:rsid w:val="007969AF"/>
    <w:rsid w:val="007B7BE1"/>
    <w:rsid w:val="008346DB"/>
    <w:rsid w:val="008F66A3"/>
    <w:rsid w:val="00982CEE"/>
    <w:rsid w:val="00993F71"/>
    <w:rsid w:val="00A0746F"/>
    <w:rsid w:val="00A3397B"/>
    <w:rsid w:val="00A675E8"/>
    <w:rsid w:val="00A90451"/>
    <w:rsid w:val="00B51BF1"/>
    <w:rsid w:val="00B564F2"/>
    <w:rsid w:val="00C26016"/>
    <w:rsid w:val="00C473C3"/>
    <w:rsid w:val="00C907C7"/>
    <w:rsid w:val="00CD5194"/>
    <w:rsid w:val="00CE59B2"/>
    <w:rsid w:val="00CF2921"/>
    <w:rsid w:val="00D03E52"/>
    <w:rsid w:val="00D2209E"/>
    <w:rsid w:val="00D5220E"/>
    <w:rsid w:val="00D7621E"/>
    <w:rsid w:val="00D81F96"/>
    <w:rsid w:val="00DB2BF9"/>
    <w:rsid w:val="00DC2F41"/>
    <w:rsid w:val="00E2240C"/>
    <w:rsid w:val="00E507A9"/>
    <w:rsid w:val="00E62C1A"/>
    <w:rsid w:val="00EA2D0D"/>
    <w:rsid w:val="00EB379A"/>
    <w:rsid w:val="00F52824"/>
    <w:rsid w:val="00F56D12"/>
    <w:rsid w:val="00FA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21"/>
    <w:pPr>
      <w:spacing w:after="200" w:line="276" w:lineRule="auto"/>
    </w:pPr>
    <w:rPr>
      <w:rFonts w:cs="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621E"/>
    <w:rPr>
      <w:color w:val="0000FF"/>
      <w:u w:val="single"/>
    </w:rPr>
  </w:style>
  <w:style w:type="paragraph" w:styleId="BalloonText">
    <w:name w:val="Balloon Text"/>
    <w:basedOn w:val="Normal"/>
    <w:link w:val="BalloonTextChar"/>
    <w:uiPriority w:val="99"/>
    <w:semiHidden/>
    <w:rsid w:val="00D7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1E"/>
    <w:rPr>
      <w:rFonts w:ascii="Tahoma" w:hAnsi="Tahoma" w:cs="Tahoma"/>
      <w:sz w:val="16"/>
      <w:szCs w:val="16"/>
    </w:rPr>
  </w:style>
  <w:style w:type="character" w:styleId="FollowedHyperlink">
    <w:name w:val="FollowedHyperlink"/>
    <w:basedOn w:val="DefaultParagraphFont"/>
    <w:uiPriority w:val="99"/>
    <w:semiHidden/>
    <w:rsid w:val="00FA4E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21"/>
    <w:pPr>
      <w:spacing w:after="200" w:line="276" w:lineRule="auto"/>
    </w:pPr>
    <w:rPr>
      <w:rFonts w:cs="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621E"/>
    <w:rPr>
      <w:color w:val="0000FF"/>
      <w:u w:val="single"/>
    </w:rPr>
  </w:style>
  <w:style w:type="paragraph" w:styleId="BalloonText">
    <w:name w:val="Balloon Text"/>
    <w:basedOn w:val="Normal"/>
    <w:link w:val="BalloonTextChar"/>
    <w:uiPriority w:val="99"/>
    <w:semiHidden/>
    <w:rsid w:val="00D7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1E"/>
    <w:rPr>
      <w:rFonts w:ascii="Tahoma" w:hAnsi="Tahoma" w:cs="Tahoma"/>
      <w:sz w:val="16"/>
      <w:szCs w:val="16"/>
    </w:rPr>
  </w:style>
  <w:style w:type="character" w:styleId="FollowedHyperlink">
    <w:name w:val="FollowedHyperlink"/>
    <w:basedOn w:val="DefaultParagraphFont"/>
    <w:uiPriority w:val="99"/>
    <w:semiHidden/>
    <w:rsid w:val="00FA4E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290">
      <w:marLeft w:val="0"/>
      <w:marRight w:val="0"/>
      <w:marTop w:val="0"/>
      <w:marBottom w:val="0"/>
      <w:divBdr>
        <w:top w:val="none" w:sz="0" w:space="0" w:color="auto"/>
        <w:left w:val="none" w:sz="0" w:space="0" w:color="auto"/>
        <w:bottom w:val="none" w:sz="0" w:space="0" w:color="auto"/>
        <w:right w:val="none" w:sz="0" w:space="0" w:color="auto"/>
      </w:divBdr>
    </w:div>
    <w:div w:id="1044868291">
      <w:marLeft w:val="0"/>
      <w:marRight w:val="0"/>
      <w:marTop w:val="0"/>
      <w:marBottom w:val="0"/>
      <w:divBdr>
        <w:top w:val="none" w:sz="0" w:space="0" w:color="auto"/>
        <w:left w:val="none" w:sz="0" w:space="0" w:color="auto"/>
        <w:bottom w:val="none" w:sz="0" w:space="0" w:color="auto"/>
        <w:right w:val="none" w:sz="0" w:space="0" w:color="auto"/>
      </w:divBdr>
    </w:div>
    <w:div w:id="104486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e.es/daco/daco42/daco421/ipc0012.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ine.es/varipc/"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CONSIDERATIONS REGARDING THE COST OF LIVING APPLIED BY THE UNJSPF TO SPAIN IN THE LAST YEARS</vt:lpstr>
    </vt:vector>
  </TitlesOfParts>
  <Company>WTO</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REGARDING THE COST OF LIVING APPLIED BY THE UNJSPF TO SPAIN IN THE LAST YEARS</dc:title>
  <dc:creator>Usuario</dc:creator>
  <cp:lastModifiedBy>Calderon, Isabel</cp:lastModifiedBy>
  <cp:revision>3</cp:revision>
  <dcterms:created xsi:type="dcterms:W3CDTF">2018-04-12T09:57:00Z</dcterms:created>
  <dcterms:modified xsi:type="dcterms:W3CDTF">2018-04-12T09:58:00Z</dcterms:modified>
</cp:coreProperties>
</file>